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2E90" w:rsidRDefault="001B2E90">
      <w:pPr>
        <w:pStyle w:val="ConsPlusNormal"/>
        <w:jc w:val="both"/>
        <w:outlineLvl w:val="0"/>
      </w:pPr>
    </w:p>
    <w:p w:rsidR="001B2E90" w:rsidRDefault="001B2E90">
      <w:pPr>
        <w:pStyle w:val="ConsPlusNormal"/>
        <w:ind w:firstLine="540"/>
        <w:jc w:val="both"/>
      </w:pPr>
      <w:r>
        <w:rPr>
          <w:b/>
        </w:rPr>
        <w:t>Вопрос:</w:t>
      </w:r>
      <w:r>
        <w:t xml:space="preserve"> Об отражении в бухгалтерском (бюджетном) учете имущества казны, переданного (полученного) по договорам безвозмездного пользования или аренды.</w:t>
      </w:r>
    </w:p>
    <w:p w:rsidR="001B2E90" w:rsidRDefault="001B2E90">
      <w:pPr>
        <w:pStyle w:val="ConsPlusNormal"/>
        <w:jc w:val="both"/>
      </w:pPr>
    </w:p>
    <w:p w:rsidR="001B2E90" w:rsidRDefault="001B2E90">
      <w:pPr>
        <w:pStyle w:val="ConsPlusNormal"/>
        <w:ind w:firstLine="540"/>
        <w:jc w:val="both"/>
      </w:pPr>
      <w:r>
        <w:rPr>
          <w:b/>
        </w:rPr>
        <w:t>Ответ:</w:t>
      </w:r>
    </w:p>
    <w:p w:rsidR="001B2E90" w:rsidRDefault="001B2E90">
      <w:pPr>
        <w:pStyle w:val="ConsPlusTitle"/>
        <w:spacing w:before="220"/>
        <w:jc w:val="center"/>
      </w:pPr>
      <w:r>
        <w:t>МИНИСТЕРСТВО ФИНАНСОВ РОССИЙСКОЙ ФЕДЕРАЦИИ</w:t>
      </w:r>
    </w:p>
    <w:p w:rsidR="001B2E90" w:rsidRDefault="001B2E90">
      <w:pPr>
        <w:pStyle w:val="ConsPlusTitle"/>
        <w:jc w:val="center"/>
      </w:pPr>
    </w:p>
    <w:p w:rsidR="001B2E90" w:rsidRDefault="001B2E90">
      <w:pPr>
        <w:pStyle w:val="ConsPlusTitle"/>
        <w:jc w:val="center"/>
      </w:pPr>
      <w:r>
        <w:t>ПИСЬМО</w:t>
      </w:r>
    </w:p>
    <w:p w:rsidR="001B2E90" w:rsidRDefault="001B2E90">
      <w:pPr>
        <w:pStyle w:val="ConsPlusTitle"/>
        <w:jc w:val="center"/>
      </w:pPr>
      <w:r>
        <w:t xml:space="preserve">от 6 августа 2018 г. N </w:t>
      </w:r>
      <w:bookmarkStart w:id="0" w:name="_GoBack"/>
      <w:r>
        <w:t>02-06-10/55503</w:t>
      </w:r>
      <w:bookmarkEnd w:id="0"/>
    </w:p>
    <w:p w:rsidR="001B2E90" w:rsidRDefault="001B2E90">
      <w:pPr>
        <w:pStyle w:val="ConsPlusNormal"/>
        <w:jc w:val="both"/>
      </w:pPr>
    </w:p>
    <w:p w:rsidR="001B2E90" w:rsidRDefault="001B2E90">
      <w:pPr>
        <w:pStyle w:val="ConsPlusNormal"/>
        <w:ind w:firstLine="540"/>
        <w:jc w:val="both"/>
      </w:pPr>
      <w:r>
        <w:t>Департамент бюджетной методологии и финансовой отчетности в государственном секторе рассмотрел письмо от 03.07.2018 по вопросу о порядке отражения в бюджетном учете объектов учета - имущества казны, переданных (полученных) по договорам безвозмездного пользования либо договорам аренды, и сообщает.</w:t>
      </w:r>
    </w:p>
    <w:p w:rsidR="001B2E90" w:rsidRDefault="001B2E90">
      <w:pPr>
        <w:pStyle w:val="ConsPlusNormal"/>
        <w:spacing w:before="220"/>
        <w:ind w:firstLine="540"/>
        <w:jc w:val="both"/>
      </w:pPr>
      <w:proofErr w:type="gramStart"/>
      <w:r>
        <w:t xml:space="preserve">В соответствии с </w:t>
      </w:r>
      <w:hyperlink r:id="rId4" w:history="1">
        <w:r>
          <w:rPr>
            <w:color w:val="0000FF"/>
          </w:rPr>
          <w:t>пунктом 9</w:t>
        </w:r>
      </w:hyperlink>
      <w:r>
        <w:t xml:space="preserve"> федерального стандарта бухгалтерского учета для организаций государственного сектора "Аренда", утвержденного приказом Министерства финансов Российской Федерации от 31.12.2016 N 258н (далее - СГС "Аренда"), объекты бухгалтерского учета, возникающие при передаче государственного (муниципального) имущества, составляющего государственную (муниципальную) казну, органом, уполномоченным на управление таким имуществом, за исключением закрепления за субъектами учета государственного (муниципального) имущества на праве оперативного управления, классифицируются</w:t>
      </w:r>
      <w:proofErr w:type="gramEnd"/>
      <w:r>
        <w:t xml:space="preserve"> в </w:t>
      </w:r>
      <w:proofErr w:type="gramStart"/>
      <w:r>
        <w:t>качестве</w:t>
      </w:r>
      <w:proofErr w:type="gramEnd"/>
      <w:r>
        <w:t xml:space="preserve"> объектов учета аренды.</w:t>
      </w:r>
    </w:p>
    <w:p w:rsidR="001B2E90" w:rsidRDefault="001B2E90">
      <w:pPr>
        <w:pStyle w:val="ConsPlusNormal"/>
        <w:spacing w:before="220"/>
        <w:ind w:firstLine="540"/>
        <w:jc w:val="both"/>
      </w:pPr>
      <w:r>
        <w:t>Балансодержатель в соответствии с договором аренды либо договором безвозмездного (бессрочного) пользования имуществом, составляющим имущество казны, передает указанное недвижимое имущество - актив пользователю для извлечения последним полезного потенциала из указанного актива в целях выполнения им государственных (муниципальных) функций (полномочий). При этом пользователь принимает обязательства в отношении основных условий содержания и пользования имуществом.</w:t>
      </w:r>
    </w:p>
    <w:p w:rsidR="001B2E90" w:rsidRDefault="001B2E90">
      <w:pPr>
        <w:pStyle w:val="ConsPlusNormal"/>
        <w:spacing w:before="220"/>
        <w:ind w:firstLine="540"/>
        <w:jc w:val="both"/>
      </w:pPr>
      <w:proofErr w:type="gramStart"/>
      <w:r>
        <w:t xml:space="preserve">Согласно </w:t>
      </w:r>
      <w:hyperlink r:id="rId5" w:history="1">
        <w:r>
          <w:rPr>
            <w:color w:val="0000FF"/>
          </w:rPr>
          <w:t>пункту 37</w:t>
        </w:r>
      </w:hyperlink>
      <w:r>
        <w:t xml:space="preserve"> федерального стандарта бухгалтерского учета для организаций государственного сектора "Об утверждении федерального стандарта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 утвержденного приказом Министерства финансов Российской Федерации от 31.12.2016 N 256н, полезным потенциалом, заключенным в активе, для целей бухгалтерского учета является его пригодность для использования субъектом учета самостоятельно или совместно с</w:t>
      </w:r>
      <w:proofErr w:type="gramEnd"/>
      <w:r>
        <w:t xml:space="preserve"> другими активами в </w:t>
      </w:r>
      <w:proofErr w:type="gramStart"/>
      <w:r>
        <w:t>целях</w:t>
      </w:r>
      <w:proofErr w:type="gramEnd"/>
      <w:r>
        <w:t xml:space="preserve"> выполнения государственных (муниципальных) функций (полномочий) в соответствии с целями создания субъекта учета, осуществления деятельности по оказанию государственных (муниципальных) услуг либо для управленческих нужд учреждения, не обязательно обеспечивая при этом поступление указанному субъекту учета денежных средств (эквивалентов денежных средств).</w:t>
      </w:r>
    </w:p>
    <w:p w:rsidR="001B2E90" w:rsidRDefault="001B2E90">
      <w:pPr>
        <w:pStyle w:val="ConsPlusNormal"/>
        <w:spacing w:before="220"/>
        <w:ind w:firstLine="540"/>
        <w:jc w:val="both"/>
      </w:pPr>
      <w:r>
        <w:t xml:space="preserve">При этом объекты бухгалтерского учета в виде операций, возникающих при получении (передаче) во временное владение и пользование или во временное пользование по договору аренды (имущественного найма) либо по договору безвозмездного пользования объектов имущества, классифицируются на объекты операционной или </w:t>
      </w:r>
      <w:proofErr w:type="spellStart"/>
      <w:r>
        <w:t>неоперационной</w:t>
      </w:r>
      <w:proofErr w:type="spellEnd"/>
      <w:r>
        <w:t xml:space="preserve"> (финансовой) аренды в соответствии с </w:t>
      </w:r>
      <w:hyperlink r:id="rId6" w:history="1">
        <w:r>
          <w:rPr>
            <w:color w:val="0000FF"/>
          </w:rPr>
          <w:t>пунктами 12</w:t>
        </w:r>
      </w:hyperlink>
      <w:r>
        <w:t xml:space="preserve"> и </w:t>
      </w:r>
      <w:hyperlink r:id="rId7" w:history="1">
        <w:r>
          <w:rPr>
            <w:color w:val="0000FF"/>
          </w:rPr>
          <w:t>13</w:t>
        </w:r>
      </w:hyperlink>
      <w:r>
        <w:t xml:space="preserve"> СГС "Аренда".</w:t>
      </w:r>
    </w:p>
    <w:p w:rsidR="001B2E90" w:rsidRDefault="001B2E90">
      <w:pPr>
        <w:pStyle w:val="ConsPlusNormal"/>
        <w:spacing w:before="220"/>
        <w:ind w:firstLine="540"/>
        <w:jc w:val="both"/>
      </w:pPr>
      <w:proofErr w:type="gramStart"/>
      <w:r>
        <w:t xml:space="preserve">В случае если объекты бухгалтерского учета, возникающие при предоставлении государственного (муниципального) имущества, составляющего государственную (муниципальную) казну, органом, уполномоченным на управление таким имуществом, за плату или в безвозмездное пользование коммерческим и (или) некоммерческим организациям, соответствуют признакам, указанным в </w:t>
      </w:r>
      <w:hyperlink r:id="rId8" w:history="1">
        <w:r>
          <w:rPr>
            <w:color w:val="0000FF"/>
          </w:rPr>
          <w:t>пункте 13</w:t>
        </w:r>
      </w:hyperlink>
      <w:r>
        <w:t xml:space="preserve"> СГС "Аренда", такие объекты относятся к </w:t>
      </w:r>
      <w:r>
        <w:lastRenderedPageBreak/>
        <w:t xml:space="preserve">объектам учета </w:t>
      </w:r>
      <w:proofErr w:type="spellStart"/>
      <w:r>
        <w:t>неоперационной</w:t>
      </w:r>
      <w:proofErr w:type="spellEnd"/>
      <w:r>
        <w:t xml:space="preserve"> (финансовой) аренды.</w:t>
      </w:r>
      <w:proofErr w:type="gramEnd"/>
    </w:p>
    <w:p w:rsidR="001B2E90" w:rsidRDefault="001B2E90">
      <w:pPr>
        <w:pStyle w:val="ConsPlusNormal"/>
        <w:spacing w:before="220"/>
        <w:ind w:firstLine="540"/>
        <w:jc w:val="both"/>
      </w:pPr>
      <w:proofErr w:type="gramStart"/>
      <w:r>
        <w:t xml:space="preserve">Принимая во внимание типовые корреспонденции, предусмотренные Инструкцией по применению Плана счетов бюджетного учета, утвержденной приказом Министерства финансов Российской Федерации от 06.12.2010 N 162н (далее - Инструкция N 162н), передача имущества казны в </w:t>
      </w:r>
      <w:proofErr w:type="spellStart"/>
      <w:r>
        <w:t>неоперационную</w:t>
      </w:r>
      <w:proofErr w:type="spellEnd"/>
      <w:r>
        <w:t xml:space="preserve"> (финансовую) аренду отражается по дебету счета </w:t>
      </w:r>
      <w:hyperlink r:id="rId9" w:history="1">
        <w:r>
          <w:rPr>
            <w:color w:val="0000FF"/>
          </w:rPr>
          <w:t>140110172</w:t>
        </w:r>
      </w:hyperlink>
      <w:r>
        <w:t xml:space="preserve"> "Доходы от операций с активами" и кредиту счета </w:t>
      </w:r>
      <w:hyperlink r:id="rId10" w:history="1">
        <w:r>
          <w:rPr>
            <w:color w:val="0000FF"/>
          </w:rPr>
          <w:t>110851410</w:t>
        </w:r>
      </w:hyperlink>
      <w:r>
        <w:t xml:space="preserve"> "Уменьшение стоимости недвижимого имущества, составляющего казну".</w:t>
      </w:r>
      <w:proofErr w:type="gramEnd"/>
    </w:p>
    <w:p w:rsidR="001B2E90" w:rsidRDefault="001B2E90">
      <w:pPr>
        <w:pStyle w:val="ConsPlusNormal"/>
        <w:spacing w:before="220"/>
        <w:ind w:firstLine="540"/>
        <w:jc w:val="both"/>
      </w:pPr>
      <w:r>
        <w:t xml:space="preserve">При этом в связи с фактом выбытия с балансового учета собственника объекта недвижимого имущества, составляющего казну, информацию об указанном объекте, по мнению Департамента, целесообразно отражать на </w:t>
      </w:r>
      <w:proofErr w:type="spellStart"/>
      <w:r>
        <w:t>забалансовых</w:t>
      </w:r>
      <w:proofErr w:type="spellEnd"/>
      <w:r>
        <w:t xml:space="preserve"> </w:t>
      </w:r>
      <w:hyperlink r:id="rId11" w:history="1">
        <w:r>
          <w:rPr>
            <w:color w:val="0000FF"/>
          </w:rPr>
          <w:t>счетах 25</w:t>
        </w:r>
      </w:hyperlink>
      <w:r>
        <w:t xml:space="preserve"> "Имущество, переданное в возмездное пользование (аренду)", </w:t>
      </w:r>
      <w:hyperlink r:id="rId12" w:history="1">
        <w:r>
          <w:rPr>
            <w:color w:val="0000FF"/>
          </w:rPr>
          <w:t>26</w:t>
        </w:r>
      </w:hyperlink>
      <w:r>
        <w:t xml:space="preserve"> "Имущество, переданное в безвозмездное пользование".</w:t>
      </w:r>
    </w:p>
    <w:p w:rsidR="001B2E90" w:rsidRDefault="001B2E90">
      <w:pPr>
        <w:pStyle w:val="ConsPlusNormal"/>
        <w:spacing w:before="220"/>
        <w:ind w:firstLine="540"/>
        <w:jc w:val="both"/>
      </w:pPr>
      <w:proofErr w:type="gramStart"/>
      <w:r>
        <w:t xml:space="preserve">В настоящее время в Инструкцию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утвержденную приказом Министерства финансов Российской Федерации от 01.12.2010 N 157н (далее - Приказ N 157н), подготовлены соответствующие изменения в части использования </w:t>
      </w:r>
      <w:proofErr w:type="spellStart"/>
      <w:r>
        <w:t>забалансовых</w:t>
      </w:r>
      <w:proofErr w:type="spellEnd"/>
      <w:r>
        <w:t xml:space="preserve"> </w:t>
      </w:r>
      <w:hyperlink r:id="rId13" w:history="1">
        <w:r>
          <w:rPr>
            <w:color w:val="0000FF"/>
          </w:rPr>
          <w:t>счетов 25</w:t>
        </w:r>
      </w:hyperlink>
      <w:r>
        <w:t xml:space="preserve"> "Имущество, переданное в возмездное пользование</w:t>
      </w:r>
      <w:proofErr w:type="gramEnd"/>
      <w:r>
        <w:t xml:space="preserve"> (аренду)", </w:t>
      </w:r>
      <w:hyperlink r:id="rId14" w:history="1">
        <w:r>
          <w:rPr>
            <w:color w:val="0000FF"/>
          </w:rPr>
          <w:t>26</w:t>
        </w:r>
      </w:hyperlink>
      <w:r>
        <w:t xml:space="preserve"> "Имущество, переданное в безвозмездное пользование" для учета объектов </w:t>
      </w:r>
      <w:proofErr w:type="spellStart"/>
      <w:r>
        <w:t>неоперационной</w:t>
      </w:r>
      <w:proofErr w:type="spellEnd"/>
      <w:r>
        <w:t xml:space="preserve"> (финансовой) аренды.</w:t>
      </w:r>
    </w:p>
    <w:p w:rsidR="001B2E90" w:rsidRDefault="001B2E90">
      <w:pPr>
        <w:pStyle w:val="ConsPlusNormal"/>
        <w:spacing w:before="220"/>
        <w:ind w:firstLine="540"/>
        <w:jc w:val="both"/>
      </w:pPr>
      <w:proofErr w:type="gramStart"/>
      <w:r>
        <w:t xml:space="preserve">В случае если объекты бухгалтерского учета, возникающие при предоставлении государственного (муниципального) имущества, составляющего государственную (муниципальную) казну, органом, уполномоченным на управление таким имуществом, за плату или в безвозмездное пользование коммерческим и (или) некоммерческим организациям, соответствуют признакам, указанным в </w:t>
      </w:r>
      <w:hyperlink r:id="rId15" w:history="1">
        <w:r>
          <w:rPr>
            <w:color w:val="0000FF"/>
          </w:rPr>
          <w:t>пункте 12</w:t>
        </w:r>
      </w:hyperlink>
      <w:r>
        <w:t xml:space="preserve"> СГС "Аренда", такие объекты относятся к объектам учета операционной аренды.</w:t>
      </w:r>
      <w:proofErr w:type="gramEnd"/>
    </w:p>
    <w:p w:rsidR="001B2E90" w:rsidRDefault="001B2E90">
      <w:pPr>
        <w:pStyle w:val="ConsPlusNormal"/>
        <w:spacing w:before="220"/>
        <w:ind w:firstLine="540"/>
        <w:jc w:val="both"/>
      </w:pPr>
      <w:r>
        <w:t>При этом передача правообладателем (арендодателем) объекта учета операционной аренды пользователю (арендатору) отражается как внутреннее перемещение нефинансового актива на дату классификации объекта аренды без отражения его выбытия с балансового учета (</w:t>
      </w:r>
      <w:hyperlink r:id="rId16" w:history="1">
        <w:r>
          <w:rPr>
            <w:color w:val="0000FF"/>
          </w:rPr>
          <w:t>пункт 24</w:t>
        </w:r>
      </w:hyperlink>
      <w:r>
        <w:t xml:space="preserve"> СГС "Аренда").</w:t>
      </w:r>
    </w:p>
    <w:p w:rsidR="001B2E90" w:rsidRDefault="001B2E90">
      <w:pPr>
        <w:pStyle w:val="ConsPlusNormal"/>
        <w:spacing w:before="220"/>
        <w:ind w:firstLine="540"/>
        <w:jc w:val="both"/>
      </w:pPr>
      <w:proofErr w:type="gramStart"/>
      <w:r>
        <w:t xml:space="preserve">Кроме того, обращаем внимание, что в соответствии с </w:t>
      </w:r>
      <w:hyperlink r:id="rId17" w:history="1">
        <w:r>
          <w:rPr>
            <w:color w:val="0000FF"/>
          </w:rPr>
          <w:t>пунктом 3</w:t>
        </w:r>
      </w:hyperlink>
      <w:r>
        <w:t xml:space="preserve"> федерального стандарта бухгалтерского учета для организаций государственного сектора "Основные средства", утвержденного приказом Министерства финансов Российской Федерации от 31.12.2016 N 257н, положения указанного федерального стандарта применяются одновременно с другими федеральными стандартами бухгалтерского учета для организаций государственного сектора, единой методологией бюджетного учета, предусмотренной нормативными правовыми актами, регулирующими ведение бухгалтерского учета, в том</w:t>
      </w:r>
      <w:proofErr w:type="gramEnd"/>
      <w:r>
        <w:t xml:space="preserve"> </w:t>
      </w:r>
      <w:proofErr w:type="gramStart"/>
      <w:r>
        <w:t>числе</w:t>
      </w:r>
      <w:proofErr w:type="gramEnd"/>
      <w:r>
        <w:t xml:space="preserve"> Инструкциями </w:t>
      </w:r>
      <w:hyperlink r:id="rId18" w:history="1">
        <w:r>
          <w:rPr>
            <w:color w:val="0000FF"/>
          </w:rPr>
          <w:t xml:space="preserve">N </w:t>
        </w:r>
        <w:proofErr w:type="spellStart"/>
        <w:r>
          <w:rPr>
            <w:color w:val="0000FF"/>
          </w:rPr>
          <w:t>N</w:t>
        </w:r>
        <w:proofErr w:type="spellEnd"/>
        <w:r>
          <w:rPr>
            <w:color w:val="0000FF"/>
          </w:rPr>
          <w:t xml:space="preserve"> 157н</w:t>
        </w:r>
      </w:hyperlink>
      <w:r>
        <w:t xml:space="preserve"> и </w:t>
      </w:r>
      <w:hyperlink r:id="rId19" w:history="1">
        <w:r>
          <w:rPr>
            <w:color w:val="0000FF"/>
          </w:rPr>
          <w:t>162н</w:t>
        </w:r>
      </w:hyperlink>
      <w:r>
        <w:t>.</w:t>
      </w:r>
    </w:p>
    <w:p w:rsidR="001B2E90" w:rsidRDefault="001B2E9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B2E90">
        <w:trPr>
          <w:jc w:val="center"/>
        </w:trPr>
        <w:tc>
          <w:tcPr>
            <w:tcW w:w="9294" w:type="dxa"/>
            <w:tcBorders>
              <w:top w:val="nil"/>
              <w:left w:val="single" w:sz="24" w:space="0" w:color="CED3F1"/>
              <w:bottom w:val="nil"/>
              <w:right w:val="single" w:sz="24" w:space="0" w:color="F4F3F8"/>
            </w:tcBorders>
            <w:shd w:val="clear" w:color="auto" w:fill="F4F3F8"/>
          </w:tcPr>
          <w:p w:rsidR="001B2E90" w:rsidRDefault="001B2E90">
            <w:pPr>
              <w:pStyle w:val="ConsPlusNormal"/>
              <w:jc w:val="both"/>
            </w:pPr>
            <w:proofErr w:type="spellStart"/>
            <w:r>
              <w:rPr>
                <w:color w:val="392C69"/>
              </w:rPr>
              <w:t>КонсультантПлюс</w:t>
            </w:r>
            <w:proofErr w:type="spellEnd"/>
            <w:r>
              <w:rPr>
                <w:color w:val="392C69"/>
              </w:rPr>
              <w:t>: примечание.</w:t>
            </w:r>
          </w:p>
          <w:p w:rsidR="001B2E90" w:rsidRDefault="001B2E90">
            <w:pPr>
              <w:pStyle w:val="ConsPlusNormal"/>
              <w:jc w:val="both"/>
            </w:pPr>
            <w:r>
              <w:rPr>
                <w:color w:val="392C69"/>
              </w:rPr>
              <w:t xml:space="preserve">В </w:t>
            </w:r>
            <w:proofErr w:type="gramStart"/>
            <w:r>
              <w:rPr>
                <w:color w:val="392C69"/>
              </w:rPr>
              <w:t>тексте</w:t>
            </w:r>
            <w:proofErr w:type="gramEnd"/>
            <w:r>
              <w:rPr>
                <w:color w:val="392C69"/>
              </w:rPr>
              <w:t xml:space="preserve"> документа, видимо, допущена опечатка: имеется в виду </w:t>
            </w:r>
            <w:hyperlink r:id="rId20" w:history="1">
              <w:r>
                <w:rPr>
                  <w:color w:val="0000FF"/>
                </w:rPr>
                <w:t>Инструкция</w:t>
              </w:r>
            </w:hyperlink>
            <w:r>
              <w:rPr>
                <w:color w:val="392C69"/>
              </w:rPr>
              <w:t>, утвержденная Приказом Минфина России от 06.12.2010 N 162н.</w:t>
            </w:r>
          </w:p>
        </w:tc>
      </w:tr>
    </w:tbl>
    <w:p w:rsidR="001B2E90" w:rsidRDefault="001B2E90">
      <w:pPr>
        <w:pStyle w:val="ConsPlusNormal"/>
        <w:spacing w:before="280"/>
        <w:ind w:firstLine="540"/>
        <w:jc w:val="both"/>
      </w:pPr>
      <w:r>
        <w:t xml:space="preserve">При этом действующими положениями </w:t>
      </w:r>
      <w:hyperlink r:id="rId21" w:history="1">
        <w:r>
          <w:rPr>
            <w:color w:val="0000FF"/>
          </w:rPr>
          <w:t>Инструкции</w:t>
        </w:r>
      </w:hyperlink>
      <w:r>
        <w:t xml:space="preserve"> N 157н и Инструкции перевод объектов учета из группы "Нефинансовые активы имущества казны" в группу "Основные средства" не предусмотрен.</w:t>
      </w:r>
    </w:p>
    <w:p w:rsidR="001B2E90" w:rsidRDefault="001B2E90">
      <w:pPr>
        <w:pStyle w:val="ConsPlusNormal"/>
        <w:spacing w:before="220"/>
        <w:ind w:firstLine="540"/>
        <w:jc w:val="both"/>
      </w:pPr>
      <w:r>
        <w:t xml:space="preserve">Таким образом, имущество казны, переданное органом, уполномоченным на управление таким имуществом, за плату или в безвозмездное пользование коммерческим и (или) некоммерческим организациям, </w:t>
      </w:r>
      <w:proofErr w:type="spellStart"/>
      <w:r>
        <w:t>реклассифицируется</w:t>
      </w:r>
      <w:proofErr w:type="spellEnd"/>
      <w:r>
        <w:t xml:space="preserve">, но продолжает учитываться на счете </w:t>
      </w:r>
      <w:r>
        <w:lastRenderedPageBreak/>
        <w:t>110851000 "Недвижимое имущество, составляющее казну".</w:t>
      </w:r>
    </w:p>
    <w:p w:rsidR="001B2E90" w:rsidRDefault="001B2E90">
      <w:pPr>
        <w:pStyle w:val="ConsPlusNormal"/>
        <w:spacing w:before="220"/>
        <w:ind w:firstLine="540"/>
        <w:jc w:val="both"/>
      </w:pPr>
      <w:r>
        <w:t>В то же время у пользователя (арендатора) объектом учета операционной аренды в целях ведения бухгалтерского учета признается право пользования активом, которое отражается им в составе нефинансовых активов как самостоятельный объект бухгалтерского учета на соответствующих счетах аналитического учета счета 011100000 "Право пользования активами".</w:t>
      </w:r>
    </w:p>
    <w:p w:rsidR="001B2E90" w:rsidRDefault="001B2E90">
      <w:pPr>
        <w:pStyle w:val="ConsPlusNormal"/>
        <w:jc w:val="both"/>
      </w:pPr>
    </w:p>
    <w:p w:rsidR="001B2E90" w:rsidRDefault="001B2E90">
      <w:pPr>
        <w:pStyle w:val="ConsPlusNormal"/>
        <w:jc w:val="right"/>
      </w:pPr>
      <w:r>
        <w:t>Заместитель директора Департамента</w:t>
      </w:r>
    </w:p>
    <w:p w:rsidR="001B2E90" w:rsidRDefault="001B2E90">
      <w:pPr>
        <w:pStyle w:val="ConsPlusNormal"/>
        <w:jc w:val="right"/>
      </w:pPr>
      <w:r>
        <w:t>бюджетной методологии</w:t>
      </w:r>
    </w:p>
    <w:p w:rsidR="001B2E90" w:rsidRDefault="001B2E90">
      <w:pPr>
        <w:pStyle w:val="ConsPlusNormal"/>
        <w:jc w:val="right"/>
      </w:pPr>
      <w:r>
        <w:t>и финансовой отчетности</w:t>
      </w:r>
    </w:p>
    <w:p w:rsidR="001B2E90" w:rsidRDefault="001B2E90">
      <w:pPr>
        <w:pStyle w:val="ConsPlusNormal"/>
        <w:jc w:val="right"/>
      </w:pPr>
      <w:r>
        <w:t>в государственном секторе</w:t>
      </w:r>
    </w:p>
    <w:p w:rsidR="001B2E90" w:rsidRDefault="001B2E90">
      <w:pPr>
        <w:pStyle w:val="ConsPlusNormal"/>
        <w:jc w:val="right"/>
      </w:pPr>
      <w:r>
        <w:t>С.В.СИВЕЦ</w:t>
      </w:r>
    </w:p>
    <w:p w:rsidR="001B2E90" w:rsidRDefault="001B2E90">
      <w:pPr>
        <w:pStyle w:val="ConsPlusNormal"/>
      </w:pPr>
      <w:r>
        <w:t>06.08.2018</w:t>
      </w:r>
    </w:p>
    <w:p w:rsidR="001B2E90" w:rsidRDefault="001B2E90">
      <w:pPr>
        <w:pStyle w:val="ConsPlusNormal"/>
        <w:jc w:val="both"/>
      </w:pPr>
    </w:p>
    <w:p w:rsidR="001B2E90" w:rsidRDefault="001B2E90">
      <w:pPr>
        <w:pStyle w:val="ConsPlusNormal"/>
        <w:jc w:val="both"/>
      </w:pPr>
    </w:p>
    <w:p w:rsidR="001B2E90" w:rsidRDefault="001B2E90">
      <w:pPr>
        <w:pStyle w:val="ConsPlusNormal"/>
        <w:pBdr>
          <w:top w:val="single" w:sz="6" w:space="0" w:color="auto"/>
        </w:pBdr>
        <w:spacing w:before="100" w:after="100"/>
        <w:jc w:val="both"/>
        <w:rPr>
          <w:sz w:val="2"/>
          <w:szCs w:val="2"/>
        </w:rPr>
      </w:pPr>
    </w:p>
    <w:p w:rsidR="00C774E9" w:rsidRDefault="00C774E9"/>
    <w:sectPr w:rsidR="00C774E9" w:rsidSect="00506F2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rsids>
    <w:rsidRoot w:val="001B2E90"/>
    <w:rsid w:val="0003343F"/>
    <w:rsid w:val="001B2E90"/>
    <w:rsid w:val="00C774E9"/>
    <w:rsid w:val="00E23E51"/>
    <w:rsid w:val="00E943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343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B2E9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1B2E9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1B2E90"/>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B2E9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1B2E9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1B2E90"/>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2C553C71A6A146F48B0ECCC3E28226AE913A4B407ECBA5D3B8FFB2E457F85441F6B4043AFE3F0FE8D4D7E25544B8A605358892DC01D0928yCX3P" TargetMode="External"/><Relationship Id="rId13" Type="http://schemas.openxmlformats.org/officeDocument/2006/relationships/hyperlink" Target="consultantplus://offline/ref=52C553C71A6A146F48B0ECCC3E28226AE91BA5B406E4BA5D3B8FFB2E457F85441F6B4043AFE2F7FA8C4D7E25544B8A605358892DC01D0928yCX3P" TargetMode="External"/><Relationship Id="rId18" Type="http://schemas.openxmlformats.org/officeDocument/2006/relationships/hyperlink" Target="consultantplus://offline/ref=52C553C71A6A146F48B0ECCC3E28226AE91BA5B406E4BA5D3B8FFB2E457F85441F6B4043AFE3F3F2884D7E25544B8A605358892DC01D0928yCX3P" TargetMode="External"/><Relationship Id="rId3" Type="http://schemas.openxmlformats.org/officeDocument/2006/relationships/webSettings" Target="webSettings.xml"/><Relationship Id="rId21" Type="http://schemas.openxmlformats.org/officeDocument/2006/relationships/hyperlink" Target="consultantplus://offline/ref=52C553C71A6A146F48B0ECCC3E28226AE91BA5B406E4BA5D3B8FFB2E457F85441F6B4043AFE3F3F2884D7E25544B8A605358892DC01D0928yCX3P" TargetMode="External"/><Relationship Id="rId7" Type="http://schemas.openxmlformats.org/officeDocument/2006/relationships/hyperlink" Target="consultantplus://offline/ref=52C553C71A6A146F48B0ECCC3E28226AE913A4B407ECBA5D3B8FFB2E457F85441F6B4043AFE3F0FE8D4D7E25544B8A605358892DC01D0928yCX3P" TargetMode="External"/><Relationship Id="rId12" Type="http://schemas.openxmlformats.org/officeDocument/2006/relationships/hyperlink" Target="consultantplus://offline/ref=52C553C71A6A146F48B0ECCC3E28226AE91BA5B304E4BA5D3B8FFB2E457F85441F6B4043AFE0F5F98D4D7E25544B8A605358892DC01D0928yCX3P" TargetMode="External"/><Relationship Id="rId17" Type="http://schemas.openxmlformats.org/officeDocument/2006/relationships/hyperlink" Target="consultantplus://offline/ref=52C553C71A6A146F48B0ECCC3E28226AE913A4B603ECBA5D3B8FFB2E457F85441F6B4043AFE3F0FB8A4D7E25544B8A605358892DC01D0928yCX3P" TargetMode="External"/><Relationship Id="rId2" Type="http://schemas.openxmlformats.org/officeDocument/2006/relationships/settings" Target="settings.xml"/><Relationship Id="rId16" Type="http://schemas.openxmlformats.org/officeDocument/2006/relationships/hyperlink" Target="consultantplus://offline/ref=52C553C71A6A146F48B0ECCC3E28226AE913A4B407ECBA5D3B8FFB2E457F85441F6B4043AFE3F0F38A4D7E25544B8A605358892DC01D0928yCX3P" TargetMode="External"/><Relationship Id="rId20" Type="http://schemas.openxmlformats.org/officeDocument/2006/relationships/hyperlink" Target="consultantplus://offline/ref=52C553C71A6A146F48B0ECCC3E28226AE91BA5B304E4BA5D3B8FFB2E457F85441F6B4043AFE1F1FF874D7E25544B8A605358892DC01D0928yCX3P" TargetMode="External"/><Relationship Id="rId1" Type="http://schemas.openxmlformats.org/officeDocument/2006/relationships/styles" Target="styles.xml"/><Relationship Id="rId6" Type="http://schemas.openxmlformats.org/officeDocument/2006/relationships/hyperlink" Target="consultantplus://offline/ref=52C553C71A6A146F48B0ECCC3E28226AE913A4B407ECBA5D3B8FFB2E457F85441F6B4043AFE3F0F9884D7E25544B8A605358892DC01D0928yCX3P" TargetMode="External"/><Relationship Id="rId11" Type="http://schemas.openxmlformats.org/officeDocument/2006/relationships/hyperlink" Target="consultantplus://offline/ref=52C553C71A6A146F48B0ECCC3E28226AE91BA5B304E4BA5D3B8FFB2E457F85441F6B4043AFE0F5F98E4D7E25544B8A605358892DC01D0928yCX3P" TargetMode="External"/><Relationship Id="rId24" Type="http://schemas.microsoft.com/office/2007/relationships/stylesWithEffects" Target="stylesWithEffects.xml"/><Relationship Id="rId5" Type="http://schemas.openxmlformats.org/officeDocument/2006/relationships/hyperlink" Target="consultantplus://offline/ref=52C553C71A6A146F48B0ECCC3E28226AE913A4B600E4BA5D3B8FFB2E457F85441F6B4043AFE3F1FB8E4D7E25544B8A605358892DC01D0928yCX3P" TargetMode="External"/><Relationship Id="rId15" Type="http://schemas.openxmlformats.org/officeDocument/2006/relationships/hyperlink" Target="consultantplus://offline/ref=52C553C71A6A146F48B0ECCC3E28226AE913A4B407ECBA5D3B8FFB2E457F85441F6B4043AFE3F0F9884D7E25544B8A605358892DC01D0928yCX3P" TargetMode="External"/><Relationship Id="rId23" Type="http://schemas.openxmlformats.org/officeDocument/2006/relationships/theme" Target="theme/theme1.xml"/><Relationship Id="rId10" Type="http://schemas.openxmlformats.org/officeDocument/2006/relationships/hyperlink" Target="consultantplus://offline/ref=52C553C71A6A146F48B0ECCC3E28226AE91BA5B304E4BA5D3B8FFB2E457F85441F6B4043AFE1F4FC874D7E25544B8A605358892DC01D0928yCX3P" TargetMode="External"/><Relationship Id="rId19" Type="http://schemas.openxmlformats.org/officeDocument/2006/relationships/hyperlink" Target="consultantplus://offline/ref=52C553C71A6A146F48B0ECCC3E28226AE91BA5B304E4BA5D3B8FFB2E457F85441F6B4043AFE1F1FF874D7E25544B8A605358892DC01D0928yCX3P" TargetMode="External"/><Relationship Id="rId4" Type="http://schemas.openxmlformats.org/officeDocument/2006/relationships/hyperlink" Target="consultantplus://offline/ref=52C553C71A6A146F48B0ECCC3E28226AE913A4B407ECBA5D3B8FFB2E457F85441F6B4043AFE3F0F98B4D7E25544B8A605358892DC01D0928yCX3P" TargetMode="External"/><Relationship Id="rId9" Type="http://schemas.openxmlformats.org/officeDocument/2006/relationships/hyperlink" Target="consultantplus://offline/ref=52C553C71A6A146F48B0ECCC3E28226AE91BA5B304E4BA5D3B8FFB2E457F85441F6B4043AFE4F7FD8E4D7E25544B8A605358892DC01D0928yCX3P" TargetMode="External"/><Relationship Id="rId14" Type="http://schemas.openxmlformats.org/officeDocument/2006/relationships/hyperlink" Target="consultantplus://offline/ref=52C553C71A6A146F48B0ECCC3E28226AE91BA5B406E4BA5D3B8FFB2E457F85441F6B4043AFE2F7FA874D7E25544B8A605358892DC01D0928yCX3P"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1526</Words>
  <Characters>8702</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СЕЛЕЗНЕВА ГАЛИНА АНАТОЛЬЕВНА</dc:creator>
  <cp:lastModifiedBy>Smetanin</cp:lastModifiedBy>
  <cp:revision>2</cp:revision>
  <dcterms:created xsi:type="dcterms:W3CDTF">2018-10-05T15:23:00Z</dcterms:created>
  <dcterms:modified xsi:type="dcterms:W3CDTF">2018-11-17T07:34:00Z</dcterms:modified>
</cp:coreProperties>
</file>